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B7EC7">
      <w:pPr>
        <w:pStyle w:val="2"/>
        <w:adjustRightInd w:val="0"/>
        <w:snapToGrid w:val="0"/>
        <w:spacing w:before="0" w:after="120" w:line="440" w:lineRule="atLeast"/>
        <w:ind w:left="0" w:leftChars="0" w:firstLine="0" w:firstLineChars="0"/>
        <w:rPr>
          <w:rFonts w:hint="default"/>
          <w:highlight w:val="none"/>
          <w:lang w:val="en-US" w:eastAsia="zh-Hans"/>
        </w:rPr>
      </w:pPr>
      <w:r>
        <w:rPr>
          <w:rFonts w:hint="eastAsia" w:ascii="仿宋_GB2312" w:hAnsi="Calibri" w:eastAsia="仿宋_GB2312" w:cs="宋体"/>
          <w:b/>
          <w:bCs/>
          <w:kern w:val="2"/>
          <w:sz w:val="28"/>
          <w:szCs w:val="32"/>
          <w:highlight w:val="none"/>
          <w:lang w:val="en-US" w:eastAsia="zh-CN" w:bidi="ar-SA"/>
        </w:rPr>
        <w:t>附件2</w:t>
      </w:r>
      <w:r>
        <w:rPr>
          <w:rFonts w:hint="eastAsia" w:ascii="仿宋_GB2312" w:hAnsi="Calibri" w:eastAsia="仿宋_GB2312" w:cs="宋体"/>
          <w:b/>
          <w:bCs/>
          <w:kern w:val="2"/>
          <w:sz w:val="28"/>
          <w:szCs w:val="32"/>
          <w:highlight w:val="none"/>
          <w:lang w:val="en-US" w:eastAsia="zh-Hans" w:bidi="ar-SA"/>
        </w:rPr>
        <w:t>.“新青年·联合国驻维也纳总部实地交流项目”行程安排</w:t>
      </w:r>
    </w:p>
    <w:p w14:paraId="1810F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center"/>
        <w:textAlignment w:val="auto"/>
        <w:rPr>
          <w:rFonts w:hint="eastAsia" w:ascii="宋体" w:hAnsi="宋体" w:cs="宋体"/>
          <w:b w:val="0"/>
          <w:bCs w:val="0"/>
          <w:sz w:val="2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0"/>
          <w:szCs w:val="21"/>
          <w:highlight w:val="none"/>
          <w:lang w:val="en-US" w:eastAsia="zh-CN"/>
        </w:rPr>
        <w:t>表1：</w:t>
      </w:r>
      <w:r>
        <w:rPr>
          <w:rFonts w:hint="eastAsia" w:ascii="宋体" w:hAnsi="宋体" w:cs="宋体"/>
          <w:b w:val="0"/>
          <w:bCs w:val="0"/>
          <w:sz w:val="20"/>
          <w:szCs w:val="21"/>
          <w:highlight w:val="none"/>
          <w:lang w:val="en-US" w:eastAsia="zh-Hans"/>
        </w:rPr>
        <w:t>“新青年·</w:t>
      </w:r>
      <w:r>
        <w:rPr>
          <w:rFonts w:hint="default" w:ascii="宋体" w:hAnsi="宋体" w:cs="宋体"/>
          <w:b w:val="0"/>
          <w:bCs w:val="0"/>
          <w:sz w:val="20"/>
          <w:szCs w:val="21"/>
          <w:highlight w:val="none"/>
          <w:lang w:eastAsia="zh-Hans"/>
        </w:rPr>
        <w:t>联合国</w:t>
      </w:r>
      <w:r>
        <w:rPr>
          <w:rFonts w:hint="eastAsia" w:ascii="宋体" w:hAnsi="宋体" w:cs="宋体"/>
          <w:b w:val="0"/>
          <w:bCs w:val="0"/>
          <w:sz w:val="20"/>
          <w:szCs w:val="21"/>
          <w:highlight w:val="none"/>
          <w:lang w:val="en-US" w:eastAsia="zh-Hans"/>
        </w:rPr>
        <w:t>驻维也纳总部</w:t>
      </w:r>
      <w:r>
        <w:rPr>
          <w:rFonts w:hint="default" w:ascii="宋体" w:hAnsi="宋体" w:cs="宋体"/>
          <w:b w:val="0"/>
          <w:bCs w:val="0"/>
          <w:sz w:val="20"/>
          <w:szCs w:val="21"/>
          <w:highlight w:val="none"/>
          <w:lang w:eastAsia="zh-Hans"/>
        </w:rPr>
        <w:t>实地交流项目</w:t>
      </w:r>
      <w:r>
        <w:rPr>
          <w:rFonts w:hint="eastAsia" w:ascii="宋体" w:hAnsi="宋体" w:cs="宋体"/>
          <w:b w:val="0"/>
          <w:bCs w:val="0"/>
          <w:sz w:val="20"/>
          <w:szCs w:val="21"/>
          <w:highlight w:val="none"/>
          <w:lang w:val="en-US" w:eastAsia="zh-Hans"/>
        </w:rPr>
        <w:t>”行</w:t>
      </w:r>
      <w:bookmarkStart w:id="2" w:name="_GoBack"/>
      <w:bookmarkEnd w:id="2"/>
      <w:r>
        <w:rPr>
          <w:rFonts w:hint="eastAsia" w:ascii="宋体" w:hAnsi="宋体" w:cs="宋体"/>
          <w:b w:val="0"/>
          <w:bCs w:val="0"/>
          <w:sz w:val="20"/>
          <w:szCs w:val="21"/>
          <w:highlight w:val="none"/>
          <w:lang w:val="en-US" w:eastAsia="zh-Hans"/>
        </w:rPr>
        <w:t>程</w:t>
      </w:r>
      <w:r>
        <w:rPr>
          <w:rFonts w:hint="eastAsia" w:ascii="宋体" w:hAnsi="宋体" w:cs="宋体"/>
          <w:b w:val="0"/>
          <w:bCs w:val="0"/>
          <w:sz w:val="20"/>
          <w:szCs w:val="21"/>
          <w:highlight w:val="none"/>
          <w:lang w:val="en-US" w:eastAsia="zh-CN"/>
        </w:rPr>
        <w:t>安排</w:t>
      </w:r>
    </w:p>
    <w:p w14:paraId="7ED6E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200"/>
        <w:jc w:val="center"/>
        <w:textAlignment w:val="auto"/>
        <w:rPr>
          <w:rFonts w:hint="default" w:ascii="宋体" w:hAnsi="宋体" w:cs="宋体"/>
          <w:b w:val="0"/>
          <w:bCs w:val="0"/>
          <w:sz w:val="18"/>
          <w:szCs w:val="20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18"/>
          <w:szCs w:val="20"/>
          <w:highlight w:val="none"/>
          <w:lang w:val="en-US" w:eastAsia="zh-CN"/>
        </w:rPr>
        <w:t>Table</w:t>
      </w:r>
      <w:r>
        <w:rPr>
          <w:rFonts w:hint="eastAsia" w:ascii="宋体" w:hAnsi="宋体" w:cs="宋体"/>
          <w:b w:val="0"/>
          <w:bCs w:val="0"/>
          <w:sz w:val="18"/>
          <w:szCs w:val="20"/>
          <w:highlight w:val="none"/>
          <w:lang w:val="en-US" w:eastAsia="zh-CN"/>
        </w:rPr>
        <w:t>1</w:t>
      </w:r>
      <w:r>
        <w:rPr>
          <w:rFonts w:hint="default" w:ascii="宋体" w:hAnsi="宋体" w:cs="宋体"/>
          <w:b w:val="0"/>
          <w:bCs w:val="0"/>
          <w:sz w:val="18"/>
          <w:szCs w:val="20"/>
          <w:highlight w:val="none"/>
          <w:lang w:val="en-US" w:eastAsia="zh-CN"/>
        </w:rPr>
        <w:t xml:space="preserve">: Course schedule of "Field Exchange </w:t>
      </w:r>
      <w:r>
        <w:rPr>
          <w:rFonts w:hint="eastAsia" w:ascii="宋体" w:hAnsi="宋体" w:cs="宋体"/>
          <w:b w:val="0"/>
          <w:bCs w:val="0"/>
          <w:sz w:val="18"/>
          <w:szCs w:val="20"/>
          <w:highlight w:val="none"/>
          <w:lang w:val="en-US" w:eastAsia="zh-CN"/>
        </w:rPr>
        <w:t>Project</w:t>
      </w:r>
      <w:r>
        <w:rPr>
          <w:rFonts w:hint="default" w:ascii="宋体" w:hAnsi="宋体" w:cs="宋体"/>
          <w:b w:val="0"/>
          <w:bCs w:val="0"/>
          <w:sz w:val="18"/>
          <w:szCs w:val="20"/>
          <w:highlight w:val="none"/>
          <w:lang w:val="en-US" w:eastAsia="zh-CN"/>
        </w:rPr>
        <w:t xml:space="preserve"> with UN European Headquarters in Vienna"</w:t>
      </w:r>
    </w:p>
    <w:tbl>
      <w:tblPr>
        <w:tblStyle w:val="5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4"/>
        <w:gridCol w:w="5647"/>
      </w:tblGrid>
      <w:tr w14:paraId="0143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21" w:type="dxa"/>
            <w:gridSpan w:val="2"/>
            <w:noWrap w:val="0"/>
            <w:vAlign w:val="top"/>
          </w:tcPr>
          <w:p w14:paraId="6293D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val="en-US" w:eastAsia="zh-Hans"/>
              </w:rPr>
              <w:t>先导课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eastAsia="zh-Hans"/>
              </w:rPr>
              <w:t>（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val="en-US" w:eastAsia="zh-Hans"/>
              </w:rPr>
              <w:t>线上形式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22"/>
                <w:szCs w:val="22"/>
                <w:highlight w:val="none"/>
                <w:lang w:eastAsia="zh-Hans"/>
              </w:rPr>
              <w:t>）</w:t>
            </w:r>
          </w:p>
        </w:tc>
      </w:tr>
      <w:tr w14:paraId="3DB4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  <w:noWrap w:val="0"/>
            <w:vAlign w:val="top"/>
          </w:tcPr>
          <w:p w14:paraId="4B3E1D4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时间</w:t>
            </w:r>
          </w:p>
        </w:tc>
        <w:tc>
          <w:tcPr>
            <w:tcW w:w="5647" w:type="dxa"/>
            <w:noWrap w:val="0"/>
            <w:vAlign w:val="top"/>
          </w:tcPr>
          <w:p w14:paraId="6DEAC3F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课程内容</w:t>
            </w:r>
          </w:p>
        </w:tc>
      </w:tr>
      <w:tr w14:paraId="41180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  <w:noWrap w:val="0"/>
            <w:vAlign w:val="center"/>
          </w:tcPr>
          <w:p w14:paraId="13454B36">
            <w:pPr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1</w:t>
            </w:r>
          </w:p>
          <w:p w14:paraId="0B1B43CF">
            <w:pPr>
              <w:adjustRightInd w:val="0"/>
              <w:snapToGrid w:val="0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: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00</w:t>
            </w:r>
          </w:p>
        </w:tc>
        <w:tc>
          <w:tcPr>
            <w:tcW w:w="5647" w:type="dxa"/>
            <w:noWrap w:val="0"/>
            <w:vAlign w:val="top"/>
          </w:tcPr>
          <w:p w14:paraId="60E8569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·欢迎仪式：项目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介绍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、日程安排、注意事项 </w:t>
            </w:r>
          </w:p>
          <w:p w14:paraId="0FB8F6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·破冰环节：队员自我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介绍</w:t>
            </w:r>
          </w:p>
          <w:p w14:paraId="21CE7E0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 xml:space="preserve">了解联合国：联合国使命及组织构架 </w:t>
            </w:r>
          </w:p>
        </w:tc>
      </w:tr>
      <w:tr w14:paraId="0FD49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  <w:noWrap w:val="0"/>
            <w:vAlign w:val="center"/>
          </w:tcPr>
          <w:p w14:paraId="5EACB30F">
            <w:pPr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2</w:t>
            </w:r>
          </w:p>
          <w:p w14:paraId="2DD96059">
            <w:pPr>
              <w:adjustRightInd w:val="0"/>
              <w:snapToGrid w:val="0"/>
              <w:jc w:val="center"/>
              <w:rPr>
                <w:rFonts w:hint="eastAsia" w:ascii="宋体" w:hAnsi="宋体" w:eastAsia="PingFang SC Regular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: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 xml:space="preserve">00 </w:t>
            </w:r>
          </w:p>
        </w:tc>
        <w:tc>
          <w:tcPr>
            <w:tcW w:w="5647" w:type="dxa"/>
            <w:noWrap w:val="0"/>
            <w:vAlign w:val="top"/>
          </w:tcPr>
          <w:p w14:paraId="6FFC919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·2015-2030年可持续发展议程 </w:t>
            </w:r>
          </w:p>
          <w:p w14:paraId="60293FE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·联合国可持续发展目标研讨会</w:t>
            </w:r>
          </w:p>
          <w:p w14:paraId="5D24638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学术写作指导</w:t>
            </w:r>
          </w:p>
        </w:tc>
      </w:tr>
      <w:tr w14:paraId="4DED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  <w:noWrap w:val="0"/>
            <w:vAlign w:val="center"/>
          </w:tcPr>
          <w:p w14:paraId="35DB4FA0">
            <w:pPr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3</w:t>
            </w:r>
          </w:p>
          <w:p w14:paraId="622C1BA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: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 xml:space="preserve">00 </w:t>
            </w:r>
          </w:p>
        </w:tc>
        <w:tc>
          <w:tcPr>
            <w:tcW w:w="5647" w:type="dxa"/>
            <w:noWrap w:val="0"/>
            <w:vAlign w:val="top"/>
          </w:tcPr>
          <w:p w14:paraId="07E8D01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学术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写作指导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与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答疑 </w:t>
            </w:r>
          </w:p>
          <w:p w14:paraId="3BD4E95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·行前说明会</w:t>
            </w:r>
          </w:p>
        </w:tc>
      </w:tr>
      <w:tr w14:paraId="4C92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  <w:noWrap w:val="0"/>
            <w:vAlign w:val="center"/>
          </w:tcPr>
          <w:p w14:paraId="7DFB51F8">
            <w:pPr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4</w:t>
            </w:r>
          </w:p>
          <w:p w14:paraId="07D7476A">
            <w:pPr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: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 xml:space="preserve">00 </w:t>
            </w:r>
          </w:p>
        </w:tc>
        <w:tc>
          <w:tcPr>
            <w:tcW w:w="5647" w:type="dxa"/>
            <w:noWrap w:val="0"/>
            <w:vAlign w:val="top"/>
          </w:tcPr>
          <w:p w14:paraId="02D556E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·“讲解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‘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绿色地球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’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”主题模拟联合国大会规则</w:t>
            </w:r>
          </w:p>
          <w:p w14:paraId="3E87A89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学习联合会议会制度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 </w:t>
            </w:r>
          </w:p>
          <w:p w14:paraId="4B15631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 ·学习撰写开场发言 </w:t>
            </w:r>
          </w:p>
          <w:p w14:paraId="46FE9DB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 ·学习撰写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会议修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正案</w:t>
            </w:r>
          </w:p>
        </w:tc>
      </w:tr>
      <w:tr w14:paraId="00A48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  <w:noWrap w:val="0"/>
            <w:vAlign w:val="center"/>
          </w:tcPr>
          <w:p w14:paraId="7605DF4A">
            <w:pPr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</w:rPr>
              <w:t>D5</w:t>
            </w:r>
          </w:p>
          <w:p w14:paraId="59A2BCDB">
            <w:pPr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kern w:val="2"/>
                <w:sz w:val="16"/>
                <w:szCs w:val="16"/>
                <w:highlight w:val="none"/>
                <w:lang w:val="en-US" w:eastAsia="zh-Hans" w:bidi="ar-SA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</w:rPr>
              <w:t>19:00</w:t>
            </w:r>
          </w:p>
        </w:tc>
        <w:tc>
          <w:tcPr>
            <w:tcW w:w="5647" w:type="dxa"/>
            <w:noWrap w:val="0"/>
            <w:vAlign w:val="top"/>
          </w:tcPr>
          <w:p w14:paraId="1F3ACF4E">
            <w:pPr>
              <w:autoSpaceDE w:val="0"/>
              <w:autoSpaceDN w:val="0"/>
              <w:adjustRightInd w:val="0"/>
              <w:snapToGrid w:val="0"/>
              <w:ind w:firstLine="160" w:firstLineChars="10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·涉外礼仪、会议礼仪、商务礼仪等</w:t>
            </w:r>
          </w:p>
          <w:p w14:paraId="6AC6D8D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·乘机、转机培训</w:t>
            </w:r>
          </w:p>
        </w:tc>
      </w:tr>
    </w:tbl>
    <w:p w14:paraId="2313315F">
      <w:pPr>
        <w:tabs>
          <w:tab w:val="left" w:pos="2311"/>
        </w:tabs>
        <w:bidi w:val="0"/>
        <w:jc w:val="left"/>
        <w:rPr>
          <w:rFonts w:hint="default"/>
          <w:highlight w:val="none"/>
          <w:lang w:eastAsia="zh-Hans"/>
        </w:rPr>
      </w:pPr>
    </w:p>
    <w:tbl>
      <w:tblPr>
        <w:tblStyle w:val="4"/>
        <w:tblpPr w:leftFromText="180" w:rightFromText="180" w:vertAnchor="text" w:horzAnchor="page" w:tblpX="1802" w:tblpY="282"/>
        <w:tblOverlap w:val="never"/>
        <w:tblW w:w="506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5"/>
        <w:gridCol w:w="2916"/>
        <w:gridCol w:w="2928"/>
        <w:gridCol w:w="1819"/>
      </w:tblGrid>
      <w:tr w14:paraId="42F0B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814F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Cs w:val="21"/>
                <w:highlight w:val="none"/>
                <w:lang w:val="en-US" w:eastAsia="zh-CN"/>
              </w:rPr>
            </w:pPr>
            <w:bookmarkStart w:id="0" w:name="_Toc78737776"/>
            <w:bookmarkStart w:id="1" w:name="_Toc317222621"/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实地交流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-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val="en-US" w:eastAsia="zh-Hans"/>
              </w:rPr>
              <w:t>奥地利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·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val="en-US" w:eastAsia="zh-Hans"/>
              </w:rPr>
              <w:t>维也纳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val="en-US" w:eastAsia="zh-CN"/>
              </w:rPr>
              <w:t>；匈牙利·布达佩斯</w:t>
            </w:r>
          </w:p>
        </w:tc>
      </w:tr>
      <w:tr w14:paraId="1E8FB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5" w:hRule="atLeast"/>
        </w:trPr>
        <w:tc>
          <w:tcPr>
            <w:tcW w:w="4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190E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  <w:lang w:eastAsia="zh-Hans"/>
              </w:rPr>
              <w:t>行程</w:t>
            </w:r>
          </w:p>
        </w:tc>
        <w:tc>
          <w:tcPr>
            <w:tcW w:w="1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38C8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</w:rPr>
              <w:t>上午（9:00-11:00）</w:t>
            </w:r>
          </w:p>
        </w:tc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5340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</w:rPr>
              <w:t>下午（14:00-18:00）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1827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</w:rPr>
              <w:t>晚上（18:00-21:00）</w:t>
            </w:r>
          </w:p>
        </w:tc>
      </w:tr>
      <w:tr w14:paraId="291CC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9D18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6</w:t>
            </w:r>
          </w:p>
          <w:p w14:paraId="4493433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飞行日</w:t>
            </w:r>
          </w:p>
        </w:tc>
        <w:tc>
          <w:tcPr>
            <w:tcW w:w="45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B767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国内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机场集合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至维也纳</w:t>
            </w:r>
          </w:p>
          <w:p w14:paraId="5FFB0D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·抵达维也纳</w:t>
            </w:r>
          </w:p>
          <w:p w14:paraId="3FEAB93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·入住酒店休息</w:t>
            </w:r>
          </w:p>
        </w:tc>
      </w:tr>
      <w:tr w14:paraId="285A0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599D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7</w:t>
            </w:r>
          </w:p>
          <w:p w14:paraId="637D662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团队建设</w:t>
            </w:r>
          </w:p>
        </w:tc>
        <w:tc>
          <w:tcPr>
            <w:tcW w:w="1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F67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人文参访 | 维也纳印象</w:t>
            </w:r>
          </w:p>
          <w:p w14:paraId="25DD84B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深度感受维也纳老城魅力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 xml:space="preserve"> </w:t>
            </w:r>
          </w:p>
          <w:p w14:paraId="09349BB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·城市公园、金色大厅、国家歌剧院、国家图书馆、圣米歇尔广场、市政厅、议会、人民公园、艺术史博物馆、·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鼠疫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纪念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柱</w:t>
            </w:r>
          </w:p>
          <w:p w14:paraId="154F1C3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卡尔教堂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等</w:t>
            </w:r>
          </w:p>
        </w:tc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F0FF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人文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 xml:space="preserve">参访 |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美泉宫</w:t>
            </w:r>
          </w:p>
          <w:p w14:paraId="394792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美泉宫曾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神圣罗马帝国、奥地利帝国、奥匈帝国和哈布斯堡王朝家族的皇宫，如今是维也纳最负盛名的旅游景点，被联合国教科文组织列入《世界文化遗产名录》·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B895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  <w:t>欢迎晚餐</w:t>
            </w:r>
          </w:p>
          <w:p w14:paraId="41A2D10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统一就餐逐步适应当地饮食与生活节奏</w:t>
            </w:r>
          </w:p>
          <w:p w14:paraId="0E393D2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  <w:highlight w:val="none"/>
                <w:lang w:val="en-US"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  <w:highlight w:val="none"/>
                <w:lang w:val="en-US" w:eastAsia="zh-CN"/>
              </w:rPr>
              <w:t>破冰游戏建立团队</w:t>
            </w:r>
          </w:p>
        </w:tc>
      </w:tr>
      <w:tr w14:paraId="0E573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D78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8</w:t>
            </w:r>
          </w:p>
          <w:p w14:paraId="14DEBDD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多边主义与外交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6C5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进入联合国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维也纳办事处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核对个人信息，安检</w:t>
            </w:r>
          </w:p>
          <w:p w14:paraId="1A9617A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开营仪式</w:t>
            </w:r>
          </w:p>
          <w:p w14:paraId="1DFB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能力提升 | 全球公民研讨会：who are we</w:t>
            </w:r>
          </w:p>
          <w:p w14:paraId="6016E0B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了解全球公民理念，探讨在新的世界秩序中，全球公民身份如何推动决策过程民主化，全球公民如何推动可持续发展目标不断实现。</w:t>
            </w:r>
          </w:p>
          <w:p w14:paraId="2B6F4D2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·学习环境、社会责任和公司治理（ESG）体系</w:t>
            </w:r>
          </w:p>
          <w:p w14:paraId="5CA13C0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-国际组织现任官员</w:t>
            </w:r>
          </w:p>
          <w:p w14:paraId="33D8555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 xml:space="preserve">调研参访 |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联合国维也纳办事处</w:t>
            </w:r>
          </w:p>
          <w:p w14:paraId="58F3F40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联合国维也纳办事处参访交流</w:t>
            </w:r>
          </w:p>
          <w:p w14:paraId="5D51D7D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·-联合国访客事务部工作人员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073B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互动培训 |多边外交原则</w:t>
            </w:r>
          </w:p>
          <w:p w14:paraId="2483C32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·多变外交的历史与当代外交进程、全球治理实践与变革</w:t>
            </w:r>
          </w:p>
          <w:p w14:paraId="3105790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-国际组织现任官员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 xml:space="preserve"> </w:t>
            </w:r>
          </w:p>
          <w:p w14:paraId="6EFE9F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 Semibold" w:cs="pingfang sc"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外交参访 | 维也纳常驻联合国代表团</w:t>
            </w:r>
          </w:p>
          <w:p w14:paraId="342B64F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·感受国家间、国家与非国家间的谈判协商，体会外交 妥协的艺术，感知国际政治的格局变化、大国均势与世界秩序，不断深化对于疫情下外交新模式的认识</w:t>
            </w:r>
          </w:p>
          <w:p w14:paraId="3F70D8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·-代表团现任外交官员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5624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  <w:t>学术科研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 xml:space="preserve"> | </w:t>
            </w: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  <w:t>结业演讲准备与倡议书撰写</w:t>
            </w:r>
          </w:p>
          <w:p w14:paraId="6BD49CA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小组讨论</w:t>
            </w:r>
          </w:p>
          <w:p w14:paraId="09ADBCB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倡议书指导与撰写</w:t>
            </w:r>
          </w:p>
        </w:tc>
      </w:tr>
      <w:tr w14:paraId="7B4BD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71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22C4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9</w:t>
            </w:r>
          </w:p>
          <w:p w14:paraId="05F268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国际能源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75E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互动培训 | 全面禁止核试验条约组织</w:t>
            </w:r>
          </w:p>
          <w:p w14:paraId="5E4EF0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 xml:space="preserve">· 了解全面禁止核试验条约组织（CTBTO) </w:t>
            </w:r>
          </w:p>
          <w:p w14:paraId="3197B6D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 xml:space="preserve">·为弄清各国是否在秘密从事核子试验,该组织建立了一套全球验证体系 </w:t>
            </w:r>
          </w:p>
          <w:p w14:paraId="0934242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·深度感受该组织的当前工作机遇与挑战</w:t>
            </w:r>
          </w:p>
          <w:p w14:paraId="77A6C38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-全面禁止核试验条约组织现任官员</w:t>
            </w:r>
          </w:p>
          <w:p w14:paraId="308672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互动培训 | 国际原子能机构</w:t>
            </w:r>
          </w:p>
          <w:p w14:paraId="4A44FB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深度了解国际原子能机构的历史地位，核保障制度和民用核能的开发利用等工作 </w:t>
            </w:r>
          </w:p>
          <w:p w14:paraId="653B28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深度了解该机构从核科学技术的安全、可靠及和平利用，为国际和平与安全作出哪些贡献</w:t>
            </w:r>
          </w:p>
          <w:p w14:paraId="486563B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-国际原子能机构现任官员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A81D7">
            <w:pPr>
              <w:widowControl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互动培训 | 欧洲安全与合作组织</w:t>
            </w:r>
          </w:p>
          <w:p w14:paraId="741C205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·对话欧洲安全与合作组织高级官员，探讨国际热点问题</w:t>
            </w:r>
          </w:p>
          <w:p w14:paraId="4F9346F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·该组织成立的背景、历史、发展现状等</w:t>
            </w:r>
          </w:p>
          <w:p w14:paraId="431843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" w:hAnsi="P" w:eastAsia="P" w:cs="P"/>
                <w:i/>
                <w:iCs/>
                <w:sz w:val="16"/>
                <w:szCs w:val="16"/>
              </w:rPr>
            </w:pPr>
            <w:r>
              <w:rPr>
                <w:rFonts w:hint="eastAsia" w:ascii="P" w:hAnsi="P" w:eastAsia="P" w:cs="P"/>
                <w:i/>
                <w:iCs/>
                <w:sz w:val="16"/>
                <w:szCs w:val="16"/>
              </w:rPr>
              <w:t>·-欧洲安全与合作组织现任官员</w:t>
            </w:r>
          </w:p>
          <w:p w14:paraId="1F3769D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外交参访 | 石油输出国组织</w:t>
            </w:r>
          </w:p>
          <w:p w14:paraId="1426D3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深度调研石油输出国组织新战略</w:t>
            </w:r>
          </w:p>
          <w:p w14:paraId="655F058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了解该组织的成立背景、成立目的等</w:t>
            </w:r>
          </w:p>
          <w:p w14:paraId="5AC0C87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石油输出国组织欧佩克（OPEC）与中国之间的合作与联系</w:t>
            </w:r>
          </w:p>
          <w:p w14:paraId="1F8A74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" w:hAnsi="P" w:eastAsia="P" w:cs="P"/>
                <w:i/>
                <w:iCs/>
                <w:sz w:val="16"/>
                <w:szCs w:val="16"/>
              </w:rPr>
              <w:t>·-石油输出国组织现任官员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15B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</w:rPr>
              <w:t>特色晚餐</w:t>
            </w:r>
          </w:p>
          <w:p w14:paraId="5C0613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当地特色风味餐厅融入当地生活</w:t>
            </w:r>
          </w:p>
          <w:p w14:paraId="1E131F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团队氛围进一步升级</w:t>
            </w:r>
          </w:p>
        </w:tc>
      </w:tr>
      <w:tr w14:paraId="14A9F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2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E6B6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10</w:t>
            </w:r>
          </w:p>
          <w:p w14:paraId="54DD625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科技与发展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DF17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互动培训 | 联合国外层空间事务处</w:t>
            </w:r>
          </w:p>
          <w:p w14:paraId="5CFAA0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 xml:space="preserve">·-调研联合国外层空间事务处 </w:t>
            </w:r>
          </w:p>
          <w:p w14:paraId="1EFF1A7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-事务处支助委员会及其两个小组委员会的政府间讨论，并协助发展中国家将空间技术应用的发展现状</w:t>
            </w:r>
          </w:p>
          <w:p w14:paraId="3AF0F0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·-联合国外层空间事务处现任官员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4765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外交参访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 xml:space="preserve"> | 联合国工业发展组织 </w:t>
            </w:r>
          </w:p>
          <w:p w14:paraId="5389724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联合国工业发展组织的发展与成就 </w:t>
            </w:r>
          </w:p>
          <w:p w14:paraId="68149E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了解生产活动减贫、贸易能力建设、能源与环境 </w:t>
            </w:r>
          </w:p>
          <w:p w14:paraId="7D22AEE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了解工发组织的组织历史、项目概况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、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旗舰工程、工作机会等 </w:t>
            </w:r>
          </w:p>
          <w:p w14:paraId="2903FD0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·-联合国工业发展组织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 xml:space="preserve">现任官员 </w:t>
            </w:r>
          </w:p>
          <w:p w14:paraId="21839CC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分组指导结业演讲</w:t>
            </w: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  <w:t xml:space="preserve"> </w:t>
            </w:r>
          </w:p>
          <w:p w14:paraId="383014E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·-国际组织现任</w:t>
            </w: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  <w:t>官员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B7F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  <w:t>学术科研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 xml:space="preserve"> |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  <w:t>外交磋商准备</w:t>
            </w:r>
          </w:p>
          <w:p w14:paraId="636637C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小组讨论</w:t>
            </w:r>
          </w:p>
        </w:tc>
      </w:tr>
      <w:tr w14:paraId="3AF4B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1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B0F7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1</w:t>
            </w:r>
          </w:p>
          <w:p w14:paraId="06B925E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可持续发展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B987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外交磋商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“绿色地球”模拟外交磋商</w:t>
            </w:r>
          </w:p>
          <w:p w14:paraId="1DAD2B4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实地模拟联合国会议，扮演国家代表外交官</w:t>
            </w:r>
          </w:p>
          <w:p w14:paraId="7ACB694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学习国际会议议事规则</w:t>
            </w:r>
          </w:p>
          <w:p w14:paraId="7C7F8D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如何在国际会议中的公开发言？</w:t>
            </w:r>
          </w:p>
          <w:p w14:paraId="4F63271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如何修改会议决议？</w:t>
            </w:r>
          </w:p>
          <w:p w14:paraId="29FC16B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磋商过程中怎样与它国代表求同存异？</w:t>
            </w:r>
          </w:p>
          <w:p w14:paraId="42F484E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color w:val="0000FF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决议文件如何生成？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4C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互动培训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 xml:space="preserve"> |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联合国毒品与犯罪问题办公室</w:t>
            </w:r>
          </w:p>
          <w:p w14:paraId="7365C2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·考察联合国毒品与问题办公室机构情况</w:t>
            </w:r>
          </w:p>
          <w:p w14:paraId="423BDFF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·了解全球视野下联合国毒品与犯罪问题干预策略</w:t>
            </w:r>
          </w:p>
          <w:p w14:paraId="41A173C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" w:hAnsi="P" w:eastAsia="P" w:cs="P"/>
                <w:b w:val="0"/>
                <w:bCs w:val="0"/>
                <w:i/>
                <w:i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" w:hAnsi="P" w:eastAsia="P" w:cs="P"/>
                <w:i/>
                <w:iCs/>
                <w:sz w:val="16"/>
                <w:szCs w:val="16"/>
              </w:rPr>
              <w:t>·-联合国毒品与犯罪问题办公室现任官员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1E7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  <w:t>学术科研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 xml:space="preserve"> | </w:t>
            </w: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  <w:t>结业演讲准备与倡议书撰写</w:t>
            </w:r>
          </w:p>
          <w:p w14:paraId="3755623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小组讨论</w:t>
            </w:r>
          </w:p>
          <w:p w14:paraId="6B78FC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i/>
                <w:iCs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倡议书指导与撰写</w:t>
            </w:r>
          </w:p>
        </w:tc>
      </w:tr>
      <w:tr w14:paraId="45A0C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08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DB1B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2</w:t>
            </w:r>
          </w:p>
          <w:p w14:paraId="73A775D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职业发展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5F3C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联合国实习、就业与职业发展</w:t>
            </w:r>
          </w:p>
          <w:p w14:paraId="76F4E9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联合国职员选拔标准及所需职业技能</w:t>
            </w:r>
          </w:p>
          <w:p w14:paraId="11E74FC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联合国岗位应聘流程及技巧</w:t>
            </w:r>
          </w:p>
          <w:p w14:paraId="08962EE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跨文化人际交往与合作能力</w:t>
            </w:r>
          </w:p>
          <w:p w14:paraId="2345107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简历及求职信的写作/面试技巧</w:t>
            </w:r>
          </w:p>
          <w:p w14:paraId="1B90FD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利用过往经历和“软技能”的提升</w:t>
            </w:r>
          </w:p>
          <w:p w14:paraId="08486D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联合国人力资源现任官员、国际组织现任实习生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441D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结业演讲及学习成果展示</w:t>
            </w:r>
          </w:p>
          <w:p w14:paraId="0400086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项目回顾</w:t>
            </w:r>
          </w:p>
          <w:p w14:paraId="620E529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color w:val="0000FF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结业典礼&amp;颁发证书仪式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1015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 w14:paraId="655332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i/>
                <w:iCs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 w14:paraId="2849D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9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764B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3</w:t>
            </w:r>
          </w:p>
          <w:p w14:paraId="4DB8EE9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人文参访</w:t>
            </w:r>
          </w:p>
        </w:tc>
        <w:tc>
          <w:tcPr>
            <w:tcW w:w="1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B50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lang w:val="en-US" w:eastAsia="zh-CN"/>
              </w:rPr>
              <w:t>商业调研｜潘多夫奥特莱斯</w:t>
            </w:r>
          </w:p>
          <w:p w14:paraId="69A128F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 xml:space="preserve">·酒店早餐 </w:t>
            </w:r>
          </w:p>
          <w:p w14:paraId="4CC1DC6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 xml:space="preserve"> 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·收拾行李、退房</w:t>
            </w:r>
          </w:p>
          <w:p w14:paraId="7D9BC5E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全员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前往布达佩斯</w:t>
            </w:r>
          </w:p>
          <w:p w14:paraId="52335A1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·奥地利、匈牙利交界处的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潘多夫奥特莱斯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感受商业氛围</w:t>
            </w:r>
          </w:p>
        </w:tc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79E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人文参访 | 匈牙利首都-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布达佩斯</w:t>
            </w:r>
          </w:p>
          <w:p w14:paraId="311E09F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布达佩斯是欧洲著名的中世纪古城，多瑙河穿城而过，西侧为布达，东侧为佩斯。布达城堡区和安德拉什大街分别于1987年和2002年成为世界文化遗产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4D8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 w14:paraId="198A6A1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 w14:paraId="35D04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7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190E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4</w:t>
            </w:r>
          </w:p>
          <w:p w14:paraId="2EFA7D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人文参访</w:t>
            </w:r>
          </w:p>
        </w:tc>
        <w:tc>
          <w:tcPr>
            <w:tcW w:w="34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2278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人文参访 | 匈牙利首都-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布达佩斯</w:t>
            </w:r>
          </w:p>
          <w:p w14:paraId="12DF021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布达皇宫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塞切尼链桥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渔人堡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马提亚斯大教堂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匈牙利国会大厦</w:t>
            </w:r>
          </w:p>
          <w:p w14:paraId="3763AFE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eastAsia="zh-Hans"/>
              </w:rPr>
              <w:t>布达皇宫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eastAsia="zh-CN"/>
              </w:rPr>
              <w:t>：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领略匈牙利的悠久历史和独特建筑特色，感受新巴洛克式古老建筑群的富丽堂皇</w:t>
            </w:r>
          </w:p>
          <w:p w14:paraId="34BEFBD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·塞切尼链桥：是布达佩斯最古老、最著名、最美丽的桥梁，将布达和佩斯连在一起。它是一座横跨在多瑙河上的铁链桥</w:t>
            </w:r>
          </w:p>
          <w:p w14:paraId="0AAC829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Hans"/>
              </w:rPr>
              <w:t>渔人堡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：鸟瞰布达佩斯全城美丽的风光，是欣赏多瑙河美景的绝佳场所</w:t>
            </w:r>
          </w:p>
          <w:p w14:paraId="6E9547C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·马提亚斯大教堂：是布达佩斯的重要地标之一，教堂内的彩色玻璃窗和华丽的装饰神秘而庄严；教堂前的马提亚斯喷泉十分引人瞩目，雕刻精美</w:t>
            </w:r>
          </w:p>
          <w:p w14:paraId="1C207FA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·匈牙利国会大厦：位于佩斯一侧的多瑙河畔，国会大厦是平等的象征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9711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</w:p>
          <w:p w14:paraId="2C58821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  <w:highlight w:val="none"/>
                <w:lang w:val="en-US" w:eastAsia="zh-CN"/>
              </w:rPr>
              <w:t>欢送晚餐</w:t>
            </w:r>
          </w:p>
          <w:p w14:paraId="793BABB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·重温一路的知识、见识与友谊</w:t>
            </w:r>
          </w:p>
          <w:p w14:paraId="05BAAF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·团队氛围升华</w:t>
            </w:r>
          </w:p>
        </w:tc>
      </w:tr>
      <w:tr w14:paraId="1E7A3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A0BC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5</w:t>
            </w:r>
          </w:p>
          <w:p w14:paraId="32537D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飞行日</w:t>
            </w:r>
          </w:p>
        </w:tc>
        <w:tc>
          <w:tcPr>
            <w:tcW w:w="45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3FE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 xml:space="preserve">·酒店早餐 </w:t>
            </w:r>
          </w:p>
          <w:p w14:paraId="498E2F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 xml:space="preserve"> 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·收拾行李、退房</w:t>
            </w:r>
          </w:p>
          <w:p w14:paraId="4D0E5B3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前往机场</w:t>
            </w:r>
          </w:p>
          <w:p w14:paraId="377AC7A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·搭乘飞机回国</w:t>
            </w:r>
          </w:p>
        </w:tc>
      </w:tr>
    </w:tbl>
    <w:p w14:paraId="15C4F0AC">
      <w:pPr>
        <w:jc w:val="left"/>
      </w:pP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注：以上日程安排仅供参考。授课国际组织及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参访机构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可能会因联合国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国际组织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安排进行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调整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，以主办方最终通知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和执行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为准</w:t>
      </w:r>
      <w:r>
        <w:rPr>
          <w:rFonts w:hint="default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eastAsia="zh-CN"/>
        </w:rPr>
        <w:t>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 Semibold">
    <w:altName w:val="黑体"/>
    <w:panose1 w:val="020B0702040204020203"/>
    <w:charset w:val="86"/>
    <w:family w:val="swiss"/>
    <w:pitch w:val="default"/>
    <w:sig w:usb0="00000000" w:usb1="00000000" w:usb2="00000016" w:usb3="00000000" w:csb0="0004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gFang SC Regular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 Semibold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jZTY2ZGRkMWRiZGIwMDY3MGI0YmJlNjFkY2M4MmEifQ=="/>
  </w:docVars>
  <w:rsids>
    <w:rsidRoot w:val="B4FD1C5B"/>
    <w:rsid w:val="17FB2425"/>
    <w:rsid w:val="26F6A1A0"/>
    <w:rsid w:val="367FF2A1"/>
    <w:rsid w:val="3BF22982"/>
    <w:rsid w:val="3EF7EC08"/>
    <w:rsid w:val="3F6A3456"/>
    <w:rsid w:val="3F6BD761"/>
    <w:rsid w:val="3FE78824"/>
    <w:rsid w:val="43FFCD29"/>
    <w:rsid w:val="4BBD18C0"/>
    <w:rsid w:val="5CD4405C"/>
    <w:rsid w:val="65BB6148"/>
    <w:rsid w:val="76EFB741"/>
    <w:rsid w:val="77DEB5B0"/>
    <w:rsid w:val="77EA5E52"/>
    <w:rsid w:val="785E3568"/>
    <w:rsid w:val="795D5C91"/>
    <w:rsid w:val="79FCBE7A"/>
    <w:rsid w:val="7C7BEFD0"/>
    <w:rsid w:val="7EAF483E"/>
    <w:rsid w:val="7F7D91FC"/>
    <w:rsid w:val="7F956442"/>
    <w:rsid w:val="8AABD6DE"/>
    <w:rsid w:val="8FF9129B"/>
    <w:rsid w:val="95ABD02A"/>
    <w:rsid w:val="ADD7772B"/>
    <w:rsid w:val="B4FD1C5B"/>
    <w:rsid w:val="B7761DC2"/>
    <w:rsid w:val="BE5785FC"/>
    <w:rsid w:val="BE5E6C43"/>
    <w:rsid w:val="BE8B0F68"/>
    <w:rsid w:val="CE679FDD"/>
    <w:rsid w:val="CFEB2E67"/>
    <w:rsid w:val="DE6301B6"/>
    <w:rsid w:val="E7FBD42C"/>
    <w:rsid w:val="EF775D2E"/>
    <w:rsid w:val="F7DF7A14"/>
    <w:rsid w:val="F8F9CA08"/>
    <w:rsid w:val="F9F5BB4D"/>
    <w:rsid w:val="F9FE3BEA"/>
    <w:rsid w:val="FB7D2B78"/>
    <w:rsid w:val="FDFE7ED8"/>
    <w:rsid w:val="FFFB6112"/>
    <w:rsid w:val="FFFFE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left="318"/>
      <w:outlineLvl w:val="0"/>
    </w:pPr>
    <w:rPr>
      <w:rFonts w:ascii="微软雅黑 Semibold" w:hAnsi="微软雅黑 Semibold" w:eastAsia="微软雅黑 Semibold" w:cs="微软雅黑 Semibold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OC Heading"/>
    <w:basedOn w:val="2"/>
    <w:next w:val="1"/>
    <w:unhideWhenUsed/>
    <w:qFormat/>
    <w:uiPriority w:val="39"/>
    <w:pPr>
      <w:keepLines/>
      <w:widowControl/>
      <w:spacing w:after="0" w:line="259" w:lineRule="auto"/>
      <w:jc w:val="left"/>
      <w:outlineLvl w:val="9"/>
    </w:pPr>
    <w:rPr>
      <w:color w:val="2F5496"/>
      <w:kern w:val="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2407</Words>
  <Characters>2576</Characters>
  <Lines>0</Lines>
  <Paragraphs>0</Paragraphs>
  <TotalTime>0</TotalTime>
  <ScaleCrop>false</ScaleCrop>
  <LinksUpToDate>false</LinksUpToDate>
  <CharactersWithSpaces>2654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2023-09-06T22:21:00Z</dcterms:created>
  <dc:creator>蒋国平</dc:creator>
  <cp:lastModifiedBy>A@niu</cp:lastModifiedBy>
  <dcterms:modified xsi:type="dcterms:W3CDTF">2024-10-10T09:03:35Z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00C78825CFD54E1EB89F834B4E45AB40_13</vt:lpwstr>
  </property>
</Properties>
</file>