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6D900">
      <w:pPr>
        <w:pStyle w:val="2"/>
        <w:adjustRightInd w:val="0"/>
        <w:snapToGrid w:val="0"/>
        <w:spacing w:after="120" w:line="440" w:lineRule="atLeast"/>
        <w:ind w:left="0"/>
        <w:rPr>
          <w:rFonts w:hint="eastAsia" w:ascii="仿宋_GB2312" w:hAnsi="Calibri" w:eastAsia="仿宋_GB2312" w:cs="宋体"/>
          <w:b/>
          <w:bCs/>
          <w:sz w:val="28"/>
          <w:szCs w:val="32"/>
          <w:lang w:eastAsia="zh-Hans"/>
        </w:rPr>
      </w:pPr>
      <w:bookmarkStart w:id="0" w:name="_GoBack"/>
      <w:bookmarkEnd w:id="0"/>
      <w:r>
        <w:rPr>
          <w:rFonts w:hint="eastAsia" w:ascii="仿宋_GB2312" w:hAnsi="Calibri" w:eastAsia="仿宋_GB2312" w:cs="宋体"/>
          <w:b/>
          <w:bCs/>
          <w:sz w:val="28"/>
          <w:szCs w:val="32"/>
        </w:rPr>
        <w:t>附件</w:t>
      </w:r>
      <w:r>
        <w:rPr>
          <w:rFonts w:hint="eastAsia" w:ascii="仿宋_GB2312" w:hAnsi="Calibri" w:eastAsia="仿宋_GB2312" w:cs="宋体"/>
          <w:b/>
          <w:bCs/>
          <w:sz w:val="28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宋体"/>
          <w:b/>
          <w:bCs/>
          <w:sz w:val="28"/>
          <w:szCs w:val="32"/>
          <w:lang w:eastAsia="zh-Hans"/>
        </w:rPr>
        <w:t>.“</w:t>
      </w:r>
      <w:r>
        <w:rPr>
          <w:rFonts w:hint="eastAsia" w:ascii="仿宋_GB2312" w:hAnsi="Calibri" w:eastAsia="仿宋_GB2312" w:cs="宋体"/>
          <w:b/>
          <w:bCs/>
          <w:sz w:val="28"/>
          <w:szCs w:val="32"/>
          <w:lang w:val="en-US" w:eastAsia="zh-Hans"/>
        </w:rPr>
        <w:t>新青年国际组织人才培养项目</w:t>
      </w:r>
      <w:r>
        <w:rPr>
          <w:rFonts w:hint="eastAsia" w:ascii="仿宋_GB2312" w:hAnsi="Calibri" w:eastAsia="仿宋_GB2312" w:cs="宋体"/>
          <w:b/>
          <w:bCs/>
          <w:sz w:val="28"/>
          <w:szCs w:val="32"/>
          <w:lang w:eastAsia="zh-Hans"/>
        </w:rPr>
        <w:t>”行程安排</w:t>
      </w:r>
    </w:p>
    <w:p w14:paraId="481EADD4">
      <w:pPr>
        <w:adjustRightInd w:val="0"/>
        <w:snapToGrid w:val="0"/>
        <w:ind w:firstLine="420" w:firstLineChars="200"/>
        <w:jc w:val="center"/>
        <w:rPr>
          <w:rFonts w:hint="eastAsia" w:ascii="宋体" w:hAnsi="宋体" w:cs="宋体"/>
          <w:sz w:val="20"/>
          <w:szCs w:val="21"/>
        </w:rPr>
      </w:pPr>
      <w:r>
        <w:rPr>
          <w:rFonts w:hint="eastAsia"/>
          <w:lang w:eastAsia="zh-CN"/>
        </w:rPr>
        <w:tab/>
      </w:r>
      <w:r>
        <w:rPr>
          <w:rFonts w:hint="eastAsia" w:ascii="宋体" w:hAnsi="宋体" w:cs="宋体"/>
          <w:sz w:val="20"/>
          <w:szCs w:val="21"/>
        </w:rPr>
        <w:t>表</w:t>
      </w:r>
      <w:r>
        <w:rPr>
          <w:rFonts w:hint="eastAsia" w:ascii="宋体" w:hAnsi="宋体" w:cs="宋体"/>
          <w:sz w:val="20"/>
          <w:szCs w:val="21"/>
          <w:lang w:val="en-US" w:eastAsia="zh-CN"/>
        </w:rPr>
        <w:t>1</w:t>
      </w:r>
      <w:r>
        <w:rPr>
          <w:rFonts w:hint="eastAsia" w:ascii="宋体" w:hAnsi="宋体" w:cs="宋体"/>
          <w:sz w:val="20"/>
          <w:szCs w:val="21"/>
        </w:rPr>
        <w:t>：</w:t>
      </w:r>
      <w:r>
        <w:rPr>
          <w:rFonts w:hint="eastAsia" w:ascii="宋体" w:hAnsi="宋体" w:cs="宋体"/>
          <w:sz w:val="20"/>
          <w:szCs w:val="21"/>
          <w:lang w:eastAsia="zh-Hans"/>
        </w:rPr>
        <w:t>“</w:t>
      </w:r>
      <w:r>
        <w:rPr>
          <w:rFonts w:hint="eastAsia" w:ascii="宋体" w:hAnsi="宋体" w:cs="宋体"/>
          <w:sz w:val="20"/>
          <w:szCs w:val="21"/>
          <w:lang w:val="en-US" w:eastAsia="zh-Hans"/>
        </w:rPr>
        <w:t>新青年国际组织人才培养项目</w:t>
      </w:r>
      <w:r>
        <w:rPr>
          <w:rFonts w:hint="eastAsia" w:ascii="宋体" w:hAnsi="宋体" w:cs="宋体"/>
          <w:sz w:val="20"/>
          <w:szCs w:val="21"/>
          <w:lang w:eastAsia="zh-Hans"/>
        </w:rPr>
        <w:t>”行程</w:t>
      </w:r>
      <w:r>
        <w:rPr>
          <w:rFonts w:hint="eastAsia" w:ascii="宋体" w:hAnsi="宋体" w:cs="宋体"/>
          <w:sz w:val="20"/>
          <w:szCs w:val="21"/>
        </w:rPr>
        <w:t>安排</w:t>
      </w:r>
    </w:p>
    <w:p w14:paraId="2570839D">
      <w:pPr>
        <w:adjustRightInd w:val="0"/>
        <w:snapToGrid w:val="0"/>
        <w:jc w:val="center"/>
        <w:rPr>
          <w:rFonts w:hint="eastAsia"/>
          <w:lang w:val="en-US" w:eastAsia="zh-CN"/>
        </w:rPr>
      </w:pPr>
      <w:r>
        <w:rPr>
          <w:rFonts w:ascii="宋体" w:hAnsi="宋体" w:cs="宋体"/>
          <w:sz w:val="18"/>
          <w:szCs w:val="20"/>
        </w:rPr>
        <w:t>Table</w:t>
      </w:r>
      <w:r>
        <w:rPr>
          <w:rFonts w:hint="eastAsia" w:ascii="宋体" w:hAnsi="宋体" w:cs="宋体"/>
          <w:sz w:val="18"/>
          <w:szCs w:val="20"/>
          <w:lang w:val="en-US" w:eastAsia="zh-CN"/>
        </w:rPr>
        <w:t xml:space="preserve"> 1</w:t>
      </w:r>
      <w:r>
        <w:rPr>
          <w:rFonts w:ascii="宋体" w:hAnsi="宋体" w:cs="宋体"/>
          <w:sz w:val="18"/>
          <w:szCs w:val="20"/>
        </w:rPr>
        <w:t xml:space="preserve">: Course </w:t>
      </w:r>
      <w:r>
        <w:rPr>
          <w:rFonts w:hint="eastAsia" w:ascii="宋体" w:hAnsi="宋体" w:cs="宋体"/>
          <w:sz w:val="18"/>
          <w:szCs w:val="20"/>
          <w:lang w:val="en-US" w:eastAsia="zh-CN"/>
        </w:rPr>
        <w:t>S</w:t>
      </w:r>
      <w:r>
        <w:rPr>
          <w:rFonts w:ascii="宋体" w:hAnsi="宋体" w:cs="宋体"/>
          <w:sz w:val="18"/>
          <w:szCs w:val="20"/>
        </w:rPr>
        <w:t>chedule of "</w:t>
      </w:r>
      <w:r>
        <w:rPr>
          <w:rFonts w:hint="default" w:ascii="宋体" w:hAnsi="宋体" w:cs="宋体"/>
          <w:sz w:val="18"/>
          <w:szCs w:val="20"/>
          <w:lang w:val="en-US" w:eastAsia="zh-Hans"/>
        </w:rPr>
        <w:t>New Youth International Organization Talent</w:t>
      </w:r>
      <w:r>
        <w:rPr>
          <w:rFonts w:hint="eastAsia" w:ascii="宋体" w:hAnsi="宋体" w:cs="宋体"/>
          <w:sz w:val="18"/>
          <w:szCs w:val="20"/>
          <w:lang w:val="en-US" w:eastAsia="zh-CN"/>
        </w:rPr>
        <w:t>s</w:t>
      </w:r>
      <w:r>
        <w:rPr>
          <w:rFonts w:hint="default" w:ascii="宋体" w:hAnsi="宋体" w:cs="宋体"/>
          <w:sz w:val="18"/>
          <w:szCs w:val="20"/>
          <w:lang w:val="en-US" w:eastAsia="zh-Hans"/>
        </w:rPr>
        <w:t xml:space="preserve"> Training Program</w:t>
      </w:r>
      <w:r>
        <w:rPr>
          <w:rFonts w:ascii="宋体" w:hAnsi="宋体" w:cs="宋体"/>
          <w:sz w:val="18"/>
          <w:szCs w:val="20"/>
        </w:rPr>
        <w:t>"</w:t>
      </w:r>
    </w:p>
    <w:tbl>
      <w:tblPr>
        <w:tblStyle w:val="8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1"/>
        <w:gridCol w:w="5660"/>
      </w:tblGrid>
      <w:tr w14:paraId="23858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7" w:type="dxa"/>
            <w:gridSpan w:val="2"/>
            <w:noWrap w:val="0"/>
            <w:vAlign w:val="top"/>
          </w:tcPr>
          <w:p w14:paraId="0D1A6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val="en-US" w:eastAsia="zh-Hans"/>
              </w:rPr>
              <w:t>先导课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eastAsia="zh-Hans"/>
              </w:rPr>
              <w:t>（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21"/>
                <w:szCs w:val="21"/>
                <w:highlight w:val="none"/>
                <w:lang w:val="en-US" w:eastAsia="zh-Hans"/>
              </w:rPr>
              <w:t>线上形式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22"/>
                <w:szCs w:val="22"/>
                <w:highlight w:val="none"/>
                <w:lang w:eastAsia="zh-Hans"/>
              </w:rPr>
              <w:t>）</w:t>
            </w:r>
          </w:p>
        </w:tc>
      </w:tr>
      <w:tr w14:paraId="5972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5" w:type="dxa"/>
            <w:noWrap w:val="0"/>
            <w:vAlign w:val="top"/>
          </w:tcPr>
          <w:p w14:paraId="2F9CE9A9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时间</w:t>
            </w:r>
          </w:p>
        </w:tc>
        <w:tc>
          <w:tcPr>
            <w:tcW w:w="5712" w:type="dxa"/>
            <w:noWrap w:val="0"/>
            <w:vAlign w:val="top"/>
          </w:tcPr>
          <w:p w14:paraId="02B60586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课程内容</w:t>
            </w:r>
          </w:p>
        </w:tc>
      </w:tr>
      <w:tr w14:paraId="7C66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2805" w:type="dxa"/>
            <w:noWrap w:val="0"/>
            <w:vAlign w:val="center"/>
          </w:tcPr>
          <w:p w14:paraId="3E666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</w:t>
            </w:r>
          </w:p>
          <w:p w14:paraId="29956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00</w:t>
            </w:r>
          </w:p>
        </w:tc>
        <w:tc>
          <w:tcPr>
            <w:tcW w:w="5712" w:type="dxa"/>
            <w:noWrap w:val="0"/>
            <w:vAlign w:val="center"/>
          </w:tcPr>
          <w:p w14:paraId="17DAC80D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欢迎仪式：项目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介绍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、日程安排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、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注意事项</w:t>
            </w:r>
          </w:p>
          <w:p w14:paraId="7AFEC3D4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破冰环节：队员自我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介绍</w:t>
            </w:r>
          </w:p>
          <w:p w14:paraId="1D649058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Hans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了解联合国：联合国使命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、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Hans"/>
              </w:rPr>
              <w:t>组织构架</w:t>
            </w:r>
          </w:p>
          <w:p w14:paraId="0B45A818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·2015-</w:t>
            </w: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2030年可持续发展议程</w:t>
            </w:r>
          </w:p>
        </w:tc>
      </w:tr>
      <w:tr w14:paraId="610FF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805" w:type="dxa"/>
            <w:noWrap w:val="0"/>
            <w:vAlign w:val="center"/>
          </w:tcPr>
          <w:p w14:paraId="5F245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2</w:t>
            </w:r>
          </w:p>
          <w:p w14:paraId="4EBE2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PingFang SC Regular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00 </w:t>
            </w:r>
          </w:p>
        </w:tc>
        <w:tc>
          <w:tcPr>
            <w:tcW w:w="5712" w:type="dxa"/>
            <w:noWrap w:val="0"/>
            <w:vAlign w:val="center"/>
          </w:tcPr>
          <w:p w14:paraId="356FEEA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国际模拟联合国大会会前培训：规则导入</w:t>
            </w:r>
          </w:p>
        </w:tc>
      </w:tr>
      <w:tr w14:paraId="6CB85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805" w:type="dxa"/>
            <w:noWrap w:val="0"/>
            <w:vAlign w:val="center"/>
          </w:tcPr>
          <w:p w14:paraId="6F184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3</w:t>
            </w:r>
          </w:p>
          <w:p w14:paraId="05CE7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00 </w:t>
            </w:r>
          </w:p>
        </w:tc>
        <w:tc>
          <w:tcPr>
            <w:tcW w:w="5712" w:type="dxa"/>
            <w:noWrap w:val="0"/>
            <w:vAlign w:val="center"/>
          </w:tcPr>
          <w:p w14:paraId="15B75DCD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国际模拟联合国大会会前培训：会议学术调研</w:t>
            </w:r>
          </w:p>
        </w:tc>
      </w:tr>
      <w:tr w14:paraId="66C9B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805" w:type="dxa"/>
            <w:noWrap w:val="0"/>
            <w:vAlign w:val="center"/>
          </w:tcPr>
          <w:p w14:paraId="01690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4</w:t>
            </w:r>
          </w:p>
          <w:p w14:paraId="728F5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00 </w:t>
            </w:r>
          </w:p>
        </w:tc>
        <w:tc>
          <w:tcPr>
            <w:tcW w:w="5712" w:type="dxa"/>
            <w:noWrap w:val="0"/>
            <w:vAlign w:val="center"/>
          </w:tcPr>
          <w:p w14:paraId="7F400387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国际模拟联合国大会会前培训：立场文件培训</w:t>
            </w:r>
          </w:p>
        </w:tc>
      </w:tr>
      <w:tr w14:paraId="785D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805" w:type="dxa"/>
            <w:noWrap w:val="0"/>
            <w:vAlign w:val="center"/>
          </w:tcPr>
          <w:p w14:paraId="4EB22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5</w:t>
            </w:r>
          </w:p>
          <w:p w14:paraId="79360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00 </w:t>
            </w:r>
          </w:p>
        </w:tc>
        <w:tc>
          <w:tcPr>
            <w:tcW w:w="5712" w:type="dxa"/>
            <w:noWrap w:val="0"/>
            <w:vAlign w:val="center"/>
          </w:tcPr>
          <w:p w14:paraId="7BD48748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国际模拟联合国大会会前培训：会议中的演讲辩论技巧</w:t>
            </w:r>
          </w:p>
        </w:tc>
      </w:tr>
      <w:tr w14:paraId="218DB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805" w:type="dxa"/>
            <w:noWrap w:val="0"/>
            <w:vAlign w:val="center"/>
          </w:tcPr>
          <w:p w14:paraId="24B87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CN"/>
              </w:rPr>
              <w:t>6</w:t>
            </w:r>
          </w:p>
          <w:p w14:paraId="67D3C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lang w:val="en-US" w:eastAsia="zh-Hans"/>
              </w:rPr>
            </w:pP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>19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val="en-US" w:eastAsia="zh-Hans"/>
              </w:rPr>
              <w:t>:</w:t>
            </w:r>
            <w:r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highlight w:val="none"/>
                <w:lang w:eastAsia="zh-Hans"/>
              </w:rPr>
              <w:t xml:space="preserve">00 </w:t>
            </w:r>
          </w:p>
        </w:tc>
        <w:tc>
          <w:tcPr>
            <w:tcW w:w="5712" w:type="dxa"/>
            <w:noWrap w:val="0"/>
            <w:vAlign w:val="center"/>
          </w:tcPr>
          <w:p w14:paraId="432FFAE0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学员分享参会经验</w:t>
            </w:r>
          </w:p>
          <w:p w14:paraId="306CF516">
            <w:pPr>
              <w:tabs>
                <w:tab w:val="left" w:pos="1496"/>
                <w:tab w:val="center" w:pos="2775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ab/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ab/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highlight w:val="none"/>
                <w:lang w:val="en-US" w:eastAsia="zh-CN"/>
              </w:rPr>
              <w:t>·乘机&amp;转机等相关注意事项</w:t>
            </w:r>
          </w:p>
        </w:tc>
      </w:tr>
    </w:tbl>
    <w:tbl>
      <w:tblPr>
        <w:tblStyle w:val="7"/>
        <w:tblpPr w:leftFromText="180" w:rightFromText="180" w:vertAnchor="text" w:horzAnchor="page" w:tblpX="1793" w:tblpY="931"/>
        <w:tblOverlap w:val="never"/>
        <w:tblW w:w="5073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5"/>
        <w:gridCol w:w="3189"/>
        <w:gridCol w:w="2757"/>
        <w:gridCol w:w="1667"/>
      </w:tblGrid>
      <w:tr w14:paraId="587FCE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1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96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Cs w:val="21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lang w:eastAsia="zh-Hans"/>
              </w:rPr>
              <w:t>实地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  <w:lang w:val="en-US" w:eastAsia="zh-CN"/>
              </w:rPr>
              <w:t>形式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Cs w:val="21"/>
                <w:lang w:eastAsia="zh-Hans"/>
              </w:rPr>
              <w:t>-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</w:rPr>
              <w:t>美国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Cs w:val="21"/>
                <w:lang w:eastAsia="zh-Hans"/>
              </w:rPr>
              <w:t>·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Cs w:val="21"/>
              </w:rPr>
              <w:t>纽约</w:t>
            </w:r>
          </w:p>
        </w:tc>
      </w:tr>
      <w:tr w14:paraId="123C92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5" w:hRule="atLeast"/>
        </w:trPr>
        <w:tc>
          <w:tcPr>
            <w:tcW w:w="49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CA1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  <w:lang w:eastAsia="zh-Hans"/>
              </w:rPr>
              <w:t>行程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C1E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</w:rPr>
              <w:t>上午（9:00-11:00）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F5C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</w:rPr>
              <w:t>下午（14:00-18:00）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5FF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8"/>
                <w:szCs w:val="18"/>
              </w:rPr>
              <w:t>晚上（18:00-21:00）</w:t>
            </w:r>
          </w:p>
        </w:tc>
      </w:tr>
      <w:tr w14:paraId="2A0283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49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C631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 w14:paraId="11C3708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飞行日</w:t>
            </w:r>
          </w:p>
        </w:tc>
        <w:tc>
          <w:tcPr>
            <w:tcW w:w="45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5E7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国内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机场集合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至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美国</w:t>
            </w:r>
          </w:p>
          <w:p w14:paraId="484AB6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·抵达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纽约</w:t>
            </w:r>
          </w:p>
          <w:p w14:paraId="337C9E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·入住酒店休息</w:t>
            </w:r>
          </w:p>
        </w:tc>
      </w:tr>
      <w:tr w14:paraId="1DA79E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36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8449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 w14:paraId="507EBD0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团队建设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551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外交参访｜联合国总部参访交流</w:t>
            </w:r>
          </w:p>
          <w:p w14:paraId="44DCDC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i w:val="0"/>
                <w:iCs w:val="0"/>
                <w:sz w:val="16"/>
                <w:szCs w:val="16"/>
              </w:rPr>
              <w:t>·访问</w:t>
            </w:r>
            <w:r>
              <w:rPr>
                <w:rFonts w:hint="eastAsia" w:ascii="P" w:hAnsi="P" w:eastAsia="P" w:cs="P"/>
                <w:i w:val="0"/>
                <w:iCs w:val="0"/>
                <w:sz w:val="16"/>
                <w:szCs w:val="16"/>
              </w:rPr>
              <w:t>联合国</w:t>
            </w:r>
            <w:r>
              <w:rPr>
                <w:rFonts w:hint="eastAsia" w:ascii="P" w:hAnsi="P" w:eastAsia="P" w:cs="P"/>
                <w:i w:val="0"/>
                <w:iCs w:val="0"/>
                <w:sz w:val="16"/>
                <w:szCs w:val="16"/>
                <w:lang w:val="en-US" w:eastAsia="zh-CN"/>
              </w:rPr>
              <w:t>纽约</w:t>
            </w:r>
            <w:r>
              <w:rPr>
                <w:rFonts w:hint="eastAsia" w:ascii="P" w:hAnsi="P" w:eastAsia="P" w:cs="P"/>
                <w:i w:val="0"/>
                <w:iCs w:val="0"/>
                <w:sz w:val="16"/>
                <w:szCs w:val="16"/>
              </w:rPr>
              <w:t>总部</w:t>
            </w:r>
          </w:p>
          <w:p w14:paraId="0843C1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·了解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联合国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组织架构、各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机构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职能。</w:t>
            </w:r>
          </w:p>
          <w:p w14:paraId="53A8930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走进联合国大厦及各大会议厅进行调研参访</w:t>
            </w:r>
          </w:p>
          <w:p w14:paraId="3E0D9D1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" w:hAnsi="P" w:eastAsia="P" w:cs="P"/>
                <w:i/>
                <w:iCs/>
                <w:sz w:val="16"/>
                <w:szCs w:val="16"/>
              </w:rPr>
              <w:t>·-联合国</w:t>
            </w:r>
            <w:r>
              <w:rPr>
                <w:rFonts w:hint="eastAsia" w:ascii="P" w:hAnsi="P" w:eastAsia="P" w:cs="P"/>
                <w:i/>
                <w:iCs/>
                <w:sz w:val="16"/>
                <w:szCs w:val="16"/>
                <w:lang w:val="en-US" w:eastAsia="zh-CN"/>
              </w:rPr>
              <w:t>访客事务部</w:t>
            </w:r>
          </w:p>
          <w:p w14:paraId="5A01333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城市调研｜时代广场</w:t>
            </w:r>
          </w:p>
          <w:p w14:paraId="19E223D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·走进</w:t>
            </w:r>
            <w:r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  <w:t>纽约时代广场</w:t>
            </w:r>
          </w:p>
          <w:p w14:paraId="1C75D4E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·调研标志性建筑- “世界第一屏”：纳斯达克半圆柱形巨幅屏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2495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国际模拟联合国大会｜会议注册</w:t>
            </w:r>
          </w:p>
          <w:p w14:paraId="6F30540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·抵达会议酒店</w:t>
            </w:r>
          </w:p>
          <w:p w14:paraId="674CB4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·学员注册</w:t>
            </w:r>
          </w:p>
          <w:p w14:paraId="192607D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·开幕式</w:t>
            </w:r>
          </w:p>
          <w:p w14:paraId="78266B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·全体会议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077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</w:rPr>
              <w:t>学术科研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 xml:space="preserve"> |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</w:t>
            </w: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</w:rPr>
              <w:t>准备</w:t>
            </w:r>
          </w:p>
          <w:p w14:paraId="676C536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准备出席次日会议</w:t>
            </w:r>
          </w:p>
        </w:tc>
      </w:tr>
      <w:tr w14:paraId="1BABDC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1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E1CA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 w14:paraId="2D18145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国际会议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CEA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国际模拟联合国大会｜会议培训</w:t>
            </w:r>
          </w:p>
          <w:p w14:paraId="3AD85F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模拟联合国大会课程培训</w:t>
            </w:r>
          </w:p>
          <w:p w14:paraId="380C0A2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·介绍本次大会的规则</w:t>
            </w:r>
          </w:p>
          <w:p w14:paraId="30F5A13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·学习议题分析方法，收集信息、整理观点、评估不同解决方案等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F6F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国际模拟联合国大会｜模拟会议I</w:t>
            </w:r>
          </w:p>
          <w:p w14:paraId="6A812C9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根据会议议程进行</w:t>
            </w:r>
          </w:p>
          <w:p w14:paraId="03D945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·并根据不同议题，各个国家代表按照顺序阐述本国对于所分配议题的看法、已采取的措施以及未来的规划等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CAEC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 Semibold" w:cs="pingfang sc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跨文化之夜</w:t>
            </w:r>
          </w:p>
          <w:p w14:paraId="6C3C0E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·来自不同国家和地区的代表们展示和分享各自独特的文化魅力，促进跨文化的交流与理解</w:t>
            </w:r>
          </w:p>
        </w:tc>
      </w:tr>
      <w:tr w14:paraId="244B48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C105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 w14:paraId="30E7B4C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国际会议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018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国际模拟联合国大会｜模拟会议II</w:t>
            </w:r>
          </w:p>
          <w:p w14:paraId="72BF97D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根据会议议程进行</w:t>
            </w:r>
          </w:p>
          <w:p w14:paraId="043658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·根据不同议题，各个国家代表按照顺序阐述本国对于所分配议题的看法、已采取的措施以及未来的规划等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8C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国际模拟联合国大会｜模拟会议III</w:t>
            </w:r>
          </w:p>
          <w:p w14:paraId="0C18030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根据会议议程进行</w:t>
            </w:r>
          </w:p>
          <w:p w14:paraId="5581AF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·并根据不同议题，各个国家代表按照顺序阐述本国对于所分配议题的看法、已采取的措施以及未来的规划等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26AE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</w:rPr>
              <w:t>学术科研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 xml:space="preserve"> |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</w:t>
            </w:r>
            <w:r>
              <w:rPr>
                <w:rFonts w:hint="eastAsia" w:ascii="pingfang sc" w:hAnsi="pingfang sc" w:eastAsia="pingfang sc" w:cs="pingfang sc"/>
                <w:b/>
                <w:bCs/>
                <w:sz w:val="16"/>
                <w:szCs w:val="16"/>
              </w:rPr>
              <w:t>准备</w:t>
            </w:r>
          </w:p>
          <w:p w14:paraId="450D2E8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·复盘当日会议</w:t>
            </w:r>
          </w:p>
          <w:p w14:paraId="075129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筹备次日会议</w:t>
            </w:r>
          </w:p>
        </w:tc>
      </w:tr>
      <w:tr w14:paraId="3EFF75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9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B0C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 w14:paraId="0307222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国际会议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3633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国际模拟联合国大会｜模拟会议V</w:t>
            </w:r>
          </w:p>
          <w:p w14:paraId="0ABEC77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根据会议议程进行</w:t>
            </w:r>
          </w:p>
          <w:p w14:paraId="61EDFA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·并根据不同议题，各个国家代表按照顺序阐述本国对于所分配议题的看法、已采取的措施以及未来的规划等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AF1C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国际模拟联合国大会｜闭幕式</w:t>
            </w:r>
          </w:p>
          <w:p w14:paraId="7C0C80C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·总结发言</w:t>
            </w:r>
          </w:p>
          <w:p w14:paraId="3AED703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·颁发奖项</w:t>
            </w:r>
          </w:p>
          <w:p w14:paraId="54D7C09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·合影留念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35A2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社交活动</w:t>
            </w:r>
          </w:p>
          <w:p w14:paraId="34F0033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与不同国家和地区的代表们进行社交交流，感受海外社交文化</w:t>
            </w:r>
          </w:p>
        </w:tc>
      </w:tr>
      <w:tr w14:paraId="5BF3D1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00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D28B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 w14:paraId="35E533B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外交参访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AC2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外交参访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联合国开发计划署</w:t>
            </w:r>
          </w:p>
          <w:p w14:paraId="10B3B1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·访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sz w:val="16"/>
                <w:szCs w:val="16"/>
              </w:rPr>
              <w:t>问</w:t>
            </w:r>
            <w:r>
              <w:rPr>
                <w:rFonts w:hint="eastAsia" w:ascii="P" w:hAnsi="P" w:eastAsia="P" w:cs="P"/>
                <w:i w:val="0"/>
                <w:iCs w:val="0"/>
                <w:sz w:val="16"/>
                <w:szCs w:val="16"/>
              </w:rPr>
              <w:t>联合国开发计划署总部</w:t>
            </w:r>
          </w:p>
          <w:p w14:paraId="5E8D8B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·了解机构的组织架构、各部门职能以及与国际合作伙伴的关系</w:t>
            </w:r>
          </w:p>
          <w:p w14:paraId="2E98D9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·通过现任官员的讲座或分享会，了解其工作经历、项目案例以及面临的挑战和解决方案</w:t>
            </w:r>
          </w:p>
          <w:p w14:paraId="018BF6E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color w:val="0000FF"/>
                <w:sz w:val="16"/>
                <w:szCs w:val="16"/>
              </w:rPr>
            </w:pPr>
            <w:r>
              <w:rPr>
                <w:rFonts w:hint="eastAsia" w:ascii="P" w:hAnsi="P" w:eastAsia="P" w:cs="P"/>
                <w:i/>
                <w:iCs/>
                <w:sz w:val="16"/>
                <w:szCs w:val="16"/>
              </w:rPr>
              <w:t>·-联合国开发计划署现任官员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A14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外交参访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  <w:t>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联合国人口基金会</w:t>
            </w:r>
          </w:p>
          <w:p w14:paraId="749321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i w:val="0"/>
                <w:iCs w:val="0"/>
                <w:sz w:val="16"/>
                <w:szCs w:val="16"/>
              </w:rPr>
              <w:t>·走进联合国人口基金</w:t>
            </w:r>
          </w:p>
          <w:p w14:paraId="0D9BF7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i w:val="0"/>
                <w:iCs w:val="0"/>
                <w:sz w:val="16"/>
                <w:szCs w:val="16"/>
              </w:rPr>
              <w:t>·了解其宗旨与使命、历史背景、主要活动与全球影响力</w:t>
            </w:r>
          </w:p>
          <w:p w14:paraId="69C170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i w:val="0"/>
                <w:iCs w:val="0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i w:val="0"/>
                <w:iCs w:val="0"/>
                <w:sz w:val="16"/>
                <w:szCs w:val="16"/>
              </w:rPr>
              <w:t>·通过数据分析和案例研究，评估联合国人口基金在全球范围内的影响力和成效</w:t>
            </w:r>
          </w:p>
          <w:p w14:paraId="19CBA9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·-联合国人口基金现任</w:t>
            </w:r>
            <w:r>
              <w:rPr>
                <w:rFonts w:ascii="pingfang sc" w:hAnsi="pingfang sc" w:eastAsia="pingfang sc" w:cs="pingfang sc"/>
                <w:i/>
                <w:iCs/>
                <w:sz w:val="16"/>
                <w:szCs w:val="16"/>
              </w:rPr>
              <w:t>官员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29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小组讨论</w:t>
            </w:r>
          </w:p>
          <w:p w14:paraId="679184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·分享学习到的知识与思考</w:t>
            </w:r>
          </w:p>
        </w:tc>
      </w:tr>
      <w:tr w14:paraId="1CEC94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9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7C97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13</w:t>
            </w:r>
          </w:p>
          <w:p w14:paraId="084A7AE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人文参访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2CAD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城市调研｜华尔街、纽约证券交易所、铜牛、自由女神像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CN"/>
              </w:rPr>
              <w:t>、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911遗址博物馆</w:t>
            </w:r>
          </w:p>
          <w:p w14:paraId="19A636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纽约证券交易所与华尔街铜牛相邻，共同构成了华尔街金融区的核心景观</w:t>
            </w:r>
          </w:p>
          <w:p w14:paraId="11CCB8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自由女神像屹立在纽约港的入口处，与华尔街遥相呼应，共同展现着纽约这座城市的独特魅力</w:t>
            </w:r>
          </w:p>
          <w:p w14:paraId="62701D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·走进9・11国家纪念博物馆，提醒着人们珍惜和平，共同反对恐怖主义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11F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调研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参访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纽约大学</w:t>
            </w:r>
          </w:p>
          <w:p w14:paraId="68FE379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·走进纽约大学校园，调研校园历史、校园环境等</w:t>
            </w:r>
          </w:p>
          <w:p w14:paraId="155BA95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城市调研｜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帝国大厦</w:t>
            </w:r>
          </w:p>
          <w:p w14:paraId="6F9FA65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进入帝国大厦，感受纽约市的标志性建筑之一，了解其建筑背景及历史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B6F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小组讨论</w:t>
            </w:r>
          </w:p>
          <w:p w14:paraId="6A9FC5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·分享学习到的知识与思考</w:t>
            </w:r>
          </w:p>
        </w:tc>
      </w:tr>
      <w:tr w14:paraId="5BC709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2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11EC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14</w:t>
            </w:r>
          </w:p>
          <w:p w14:paraId="0F610E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</w:rPr>
              <w:t>课题研讨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F2E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eastAsia="zh-Han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课题研讨 | 大都会博物馆</w:t>
            </w:r>
          </w:p>
          <w:p w14:paraId="1D43D6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·走进这座世界上最大的艺术博物馆之一</w:t>
            </w:r>
          </w:p>
          <w:p w14:paraId="15378A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·它不仅是美国的文化瑰宝，也是全球艺术爱好者的朝圣地</w:t>
            </w:r>
          </w:p>
          <w:p w14:paraId="09AB5C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·课题调研将深入探索大都会博物馆的收藏、历史、建筑风格及其在教育、文化交流等方面的作用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E9EB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调研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参访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唐人街、中央车站</w:t>
            </w:r>
          </w:p>
          <w:p w14:paraId="0588ABD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·深入了解纽约唐人街的历史文化、社区特色</w:t>
            </w:r>
          </w:p>
          <w:p w14:paraId="7E6C7E2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·参观唐人街的中式建筑、庙宇、牌坊等，感受中国传统文化在海外的传承</w:t>
            </w:r>
          </w:p>
          <w:p w14:paraId="4B3236A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·调研中央车站的宏伟外观，考察其建筑设计特点，如拱门、穹顶、雕塑等</w:t>
            </w:r>
          </w:p>
          <w:p w14:paraId="499E27D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</w:t>
            </w:r>
            <w:r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  <w:t>了解中央车站在电影、文学等方面的文化影响力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95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小组讨论</w:t>
            </w:r>
          </w:p>
          <w:p w14:paraId="672024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·分享学习到的知识与思考</w:t>
            </w:r>
          </w:p>
          <w:p w14:paraId="3E761F4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·筹备次日赴哥伦比亚大学的准备</w:t>
            </w:r>
          </w:p>
        </w:tc>
      </w:tr>
      <w:tr w14:paraId="7E2774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71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8859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15</w:t>
            </w:r>
          </w:p>
          <w:p w14:paraId="53EB7FA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全球胜任力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534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哥伦比亚大学｜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 xml:space="preserve">开营仪式 </w:t>
            </w:r>
          </w:p>
          <w:p w14:paraId="094A7B2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核心课程｜全球胜任力的定义与核心能力</w:t>
            </w:r>
          </w:p>
          <w:p w14:paraId="2BECE2E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·全球胜任力的定义和分类 </w:t>
            </w:r>
          </w:p>
          <w:p w14:paraId="594790E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·全球胜任力对核心能力及培养 </w:t>
            </w:r>
          </w:p>
          <w:p w14:paraId="52B8E6D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·全球胜任力与国际组织</w:t>
            </w:r>
          </w:p>
          <w:p w14:paraId="7B90D1B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·-哥伦比亚大学教授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68D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0740B4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核心课程｜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国际合作与跨文化沟通</w:t>
            </w:r>
          </w:p>
          <w:p w14:paraId="46811A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·国际合作对重要性及关键能力 </w:t>
            </w:r>
          </w:p>
          <w:p w14:paraId="0720D4F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·跨文化沟通能力的培养 </w:t>
            </w:r>
          </w:p>
          <w:p w14:paraId="2074F57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·跨文化团队合作和领导力发展</w:t>
            </w:r>
          </w:p>
          <w:p w14:paraId="1C4166C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·-哥伦比亚大学教授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3342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结业演讲准备</w:t>
            </w:r>
          </w:p>
          <w:p w14:paraId="6939F9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小组讨论</w:t>
            </w:r>
          </w:p>
          <w:p w14:paraId="592CDC1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·结业演讲材料准备</w:t>
            </w:r>
          </w:p>
        </w:tc>
      </w:tr>
      <w:tr w14:paraId="69EF96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72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E93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</w:rPr>
              <w:t>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6</w:t>
            </w:r>
          </w:p>
          <w:p w14:paraId="7CA6A4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职业发展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E1D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0DAAA97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核心课程｜联合国工作概括与人才培养</w:t>
            </w:r>
          </w:p>
          <w:p w14:paraId="0FD072F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 xml:space="preserve">·联合国工作概括和特点 </w:t>
            </w:r>
          </w:p>
          <w:p w14:paraId="1160524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 xml:space="preserve">·联合国在全球治理上对重要角色和作用 </w:t>
            </w:r>
          </w:p>
          <w:p w14:paraId="49B0093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·联合国培养国际胜任力人才的要求与方式</w:t>
            </w:r>
          </w:p>
          <w:p w14:paraId="0D8272B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·-哥伦比亚大学教授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B2D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3425CC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>｜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联合国人才选拔机制</w:t>
            </w:r>
          </w:p>
          <w:p w14:paraId="0865F7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 xml:space="preserve">·联合国专业工作分类和特点 </w:t>
            </w:r>
          </w:p>
          <w:p w14:paraId="3C7434F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 xml:space="preserve">·联合国人才选择的标准和方式 </w:t>
            </w:r>
          </w:p>
          <w:p w14:paraId="3B2900C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  <w:t>·联合国工作申请，评估和筛选</w:t>
            </w:r>
          </w:p>
          <w:p w14:paraId="072357C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</w:t>
            </w: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  <w:lang w:val="en-US" w:eastAsia="zh-CN"/>
              </w:rPr>
              <w:t>联合国机构官员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A80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结业演讲准备</w:t>
            </w:r>
          </w:p>
          <w:p w14:paraId="1E997D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小组讨论</w:t>
            </w:r>
          </w:p>
          <w:p w14:paraId="787D76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·结业演讲材料准备</w:t>
            </w:r>
          </w:p>
        </w:tc>
      </w:tr>
      <w:tr w14:paraId="7589EC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7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8C6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</w:pPr>
          </w:p>
          <w:p w14:paraId="7913982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</w:pPr>
          </w:p>
          <w:p w14:paraId="3F0904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</w:rPr>
              <w:t>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 w14:paraId="4D8A63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可持续发展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F601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49C1F49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核心课程｜</w:t>
            </w:r>
            <w:r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联合国可持续发展目标和策略</w:t>
            </w:r>
          </w:p>
          <w:p w14:paraId="4A73F4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什么是联合国可持续发展目标 </w:t>
            </w:r>
          </w:p>
          <w:p w14:paraId="3614CF6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·可持续发展的实现需要哪些能力素养和意识 </w:t>
            </w:r>
          </w:p>
          <w:p w14:paraId="3E2A4D7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·可持续发展目标在全球治理中的作用和策略</w:t>
            </w:r>
          </w:p>
          <w:p w14:paraId="1CCA465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·-哥伦比亚大学教授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E3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509BE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核心课程｜可持续发展与全球胜任力培养</w:t>
            </w:r>
          </w:p>
          <w:p w14:paraId="59AEE2B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培养全球视角和跨文化沟通的能力 </w:t>
            </w:r>
          </w:p>
          <w:p w14:paraId="0DA4216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·全球胜任力在可持续发展项目的实践和反思</w:t>
            </w:r>
          </w:p>
          <w:p w14:paraId="7F1C6D2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·-哥伦比亚大学教授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8F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</w:p>
          <w:p w14:paraId="1AF395C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</w:p>
          <w:p w14:paraId="448435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结业演讲准备</w:t>
            </w:r>
          </w:p>
          <w:p w14:paraId="0E3A35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小组讨论</w:t>
            </w:r>
          </w:p>
          <w:p w14:paraId="466C51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·结业演讲材料准备</w:t>
            </w:r>
          </w:p>
        </w:tc>
      </w:tr>
      <w:tr w14:paraId="775105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7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5F62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</w:rPr>
              <w:t>D1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 w14:paraId="58B7B02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跨文化沟通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CC40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797A525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核心课程｜谈判与冲突解决</w:t>
            </w:r>
          </w:p>
          <w:p w14:paraId="0FA266A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·通过理论学习熟悉谈判的基本知识和原则； </w:t>
            </w:r>
          </w:p>
          <w:p w14:paraId="3C1A3C9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·谈判与冲突解决的常用工具和模型 </w:t>
            </w:r>
          </w:p>
          <w:p w14:paraId="1DFF7A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·通过案例分析、角色扮演、场景练习、互动交流、课堂反思等手段熟悉谈判的基本知识和原则</w:t>
            </w:r>
          </w:p>
          <w:p w14:paraId="76961F8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·-哥伦比亚大学教授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4D2B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362A3A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核心课程｜外语发展与全球胜任力</w:t>
            </w:r>
          </w:p>
          <w:p w14:paraId="2EBC69A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·外语发展在国际胜任力的重要性； </w:t>
            </w:r>
          </w:p>
          <w:p w14:paraId="283429E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·在国际组织和工作中促进外语发展的经验和方式 </w:t>
            </w:r>
          </w:p>
          <w:p w14:paraId="5972022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·外语或者多语言发展与全球公民意识形成</w:t>
            </w:r>
          </w:p>
          <w:p w14:paraId="6E3FD30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·-哥伦比亚大学教授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C952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结业演讲准备</w:t>
            </w:r>
          </w:p>
          <w:p w14:paraId="03565A1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  <w:lang w:eastAsia="zh-Hans"/>
              </w:rPr>
            </w:pPr>
            <w:r>
              <w:rPr>
                <w:rFonts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Hans"/>
              </w:rPr>
              <w:t>小组讨论</w:t>
            </w:r>
          </w:p>
          <w:p w14:paraId="5B74F6D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·结业演讲材料准备</w:t>
            </w:r>
          </w:p>
        </w:tc>
      </w:tr>
      <w:tr w14:paraId="2C6D9E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4DD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1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 w14:paraId="29ABBA2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Hans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批判思维</w:t>
            </w:r>
          </w:p>
        </w:tc>
        <w:tc>
          <w:tcPr>
            <w:tcW w:w="1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13F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680679C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核心课程｜批判性思维与国际胜任力发展</w:t>
            </w:r>
          </w:p>
          <w:p w14:paraId="773AAB0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·批判性思维的基本概念和模型 </w:t>
            </w:r>
          </w:p>
          <w:p w14:paraId="4F2206A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·批判性思维与胜任力的关系和培养方式 </w:t>
            </w:r>
          </w:p>
          <w:p w14:paraId="21FD91E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·批判性思维中胜任力场景中的使用</w:t>
            </w:r>
          </w:p>
          <w:p w14:paraId="7215BB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i/>
                <w:iCs/>
                <w:sz w:val="16"/>
                <w:szCs w:val="16"/>
              </w:rPr>
              <w:t>·-哥伦比亚大学教授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8C8A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哥伦比亚大学</w:t>
            </w:r>
          </w:p>
          <w:p w14:paraId="7758F61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·结业仪式</w:t>
            </w:r>
          </w:p>
          <w:p w14:paraId="7D0E273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·展示学习成果和对全球胜任力的思考 </w:t>
            </w:r>
          </w:p>
          <w:p w14:paraId="45163F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 xml:space="preserve">·全球胜任力在学习和工作中的运用场景 </w:t>
            </w:r>
          </w:p>
          <w:p w14:paraId="6D853EA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·颁发证书</w:t>
            </w:r>
          </w:p>
          <w:p w14:paraId="5C565F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·拍照留念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97C2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·小组复盘</w:t>
            </w:r>
          </w:p>
          <w:p w14:paraId="612AF3E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收拾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返程行李</w:t>
            </w:r>
          </w:p>
        </w:tc>
      </w:tr>
      <w:tr w14:paraId="226323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D66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20</w:t>
            </w:r>
          </w:p>
          <w:p w14:paraId="66194A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商业文化</w:t>
            </w:r>
          </w:p>
        </w:tc>
        <w:tc>
          <w:tcPr>
            <w:tcW w:w="35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7F00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/>
              </w:rPr>
            </w:pP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</w:rPr>
              <w:t xml:space="preserve">城市调研 | </w:t>
            </w:r>
            <w:r>
              <w:rPr>
                <w:rFonts w:hint="eastAsia" w:ascii="PingFang SC Semibold" w:hAnsi="PingFang SC Semibold" w:eastAsia="PingFang SC Semibold" w:cs="PingFang SC Semibold"/>
                <w:b/>
                <w:bCs/>
                <w:sz w:val="16"/>
                <w:szCs w:val="16"/>
                <w:lang w:val="en-US" w:eastAsia="zh-CN"/>
              </w:rPr>
              <w:t>商业文化</w:t>
            </w:r>
          </w:p>
          <w:p w14:paraId="2ECB199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走进美国大型商超，感受美国商业氛围</w:t>
            </w:r>
          </w:p>
          <w:p w14:paraId="1BE33D0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·调研美国商业品牌及本土运作模式，赴奥特莱斯等地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98EA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·前往机场准备返程</w:t>
            </w:r>
          </w:p>
          <w:p w14:paraId="64D524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值机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eastAsia="zh-CN"/>
              </w:rPr>
              <w:t>、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候机</w:t>
            </w:r>
          </w:p>
        </w:tc>
      </w:tr>
      <w:tr w14:paraId="19CAC5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6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2E1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eastAsia="zh-Hans"/>
              </w:rPr>
              <w:t>D</w:t>
            </w: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21</w:t>
            </w:r>
          </w:p>
          <w:p w14:paraId="767B521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飞行日</w:t>
            </w:r>
          </w:p>
        </w:tc>
        <w:tc>
          <w:tcPr>
            <w:tcW w:w="45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0166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·搭乘回国航班</w:t>
            </w:r>
          </w:p>
          <w:p w14:paraId="6982CA8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" w:hAnsi="pingfang sc" w:eastAsia="pingfang sc" w:cs="pingfang sc"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·乘机飞行</w:t>
            </w:r>
          </w:p>
        </w:tc>
      </w:tr>
      <w:tr w14:paraId="762616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</w:trPr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3175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D22</w:t>
            </w:r>
          </w:p>
          <w:p w14:paraId="7E01C5A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PingFang SC Regular" w:hAnsi="PingFang SC Regular" w:eastAsia="PingFang SC Regular" w:cs="PingFang SC Regular"/>
                <w:b/>
                <w:bCs/>
                <w:sz w:val="16"/>
                <w:szCs w:val="16"/>
                <w:lang w:val="en-US" w:eastAsia="zh-CN"/>
              </w:rPr>
              <w:t>飞行日</w:t>
            </w:r>
          </w:p>
        </w:tc>
        <w:tc>
          <w:tcPr>
            <w:tcW w:w="45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FD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安全</w:t>
            </w:r>
            <w:r>
              <w:rPr>
                <w:rFonts w:ascii="pingfang sc" w:hAnsi="pingfang sc" w:eastAsia="pingfang sc" w:cs="pingfang sc"/>
                <w:sz w:val="16"/>
                <w:szCs w:val="16"/>
              </w:rPr>
              <w:t>抵达中国</w:t>
            </w:r>
          </w:p>
          <w:p w14:paraId="72A7CC2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pingfang sc" w:hAnsi="pingfang sc" w:eastAsia="pingfang sc" w:cs="pingfang sc"/>
                <w:sz w:val="16"/>
                <w:szCs w:val="16"/>
              </w:rPr>
            </w:pP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·项目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  <w:lang w:val="en-US" w:eastAsia="zh-CN"/>
              </w:rPr>
              <w:t>圆满</w:t>
            </w:r>
            <w:r>
              <w:rPr>
                <w:rFonts w:hint="eastAsia" w:ascii="pingfang sc" w:hAnsi="pingfang sc" w:eastAsia="pingfang sc" w:cs="pingfang sc"/>
                <w:sz w:val="16"/>
                <w:szCs w:val="16"/>
              </w:rPr>
              <w:t>结束</w:t>
            </w:r>
          </w:p>
        </w:tc>
      </w:tr>
    </w:tbl>
    <w:p w14:paraId="6369E989">
      <w:pPr>
        <w:jc w:val="left"/>
        <w:rPr>
          <w:rFonts w:hint="default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注：以上日程安排仅供参考。授课教师及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参访机构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可能会临时安排进行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调整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，以主办方最终通知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Hans"/>
        </w:rPr>
        <w:t>和执行</w:t>
      </w:r>
      <w:r>
        <w:rPr>
          <w:rFonts w:hint="eastAsia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val="en-US" w:eastAsia="zh-CN"/>
        </w:rPr>
        <w:t>为准</w:t>
      </w:r>
      <w:r>
        <w:rPr>
          <w:rFonts w:hint="default" w:ascii="微软雅黑" w:hAnsi="微软雅黑" w:eastAsia="微软雅黑" w:cs="微软雅黑"/>
          <w:b/>
          <w:bCs/>
          <w:i w:val="0"/>
          <w:color w:val="000000"/>
          <w:sz w:val="16"/>
          <w:szCs w:val="16"/>
          <w:highlight w:val="none"/>
          <w:u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 Semibold">
    <w:altName w:val="黑体"/>
    <w:panose1 w:val="00000000000000000000"/>
    <w:charset w:val="86"/>
    <w:family w:val="swiss"/>
    <w:pitch w:val="default"/>
    <w:sig w:usb0="00000000" w:usb1="00000000" w:usb2="00000016" w:usb3="00000000" w:csb0="0004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gFang SC Regular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ingFang SC Semibold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P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jZTY2ZGRkMWRiZGIwMDY3MGI0YmJlNjFkY2M4MmEifQ=="/>
  </w:docVars>
  <w:rsids>
    <w:rsidRoot w:val="B4FD1C5B"/>
    <w:rsid w:val="005F5C10"/>
    <w:rsid w:val="008F196C"/>
    <w:rsid w:val="05EEFCD5"/>
    <w:rsid w:val="37EF9B4A"/>
    <w:rsid w:val="3993AE39"/>
    <w:rsid w:val="3BF22982"/>
    <w:rsid w:val="3D9F0473"/>
    <w:rsid w:val="3DEF6922"/>
    <w:rsid w:val="3DFF9B79"/>
    <w:rsid w:val="3EFE18B9"/>
    <w:rsid w:val="3F783819"/>
    <w:rsid w:val="3F7F8C78"/>
    <w:rsid w:val="43FFCD29"/>
    <w:rsid w:val="4BBD18C0"/>
    <w:rsid w:val="4BECC222"/>
    <w:rsid w:val="4FFEBA9E"/>
    <w:rsid w:val="5BF6372F"/>
    <w:rsid w:val="5FBFB073"/>
    <w:rsid w:val="5FFDB085"/>
    <w:rsid w:val="6D7EE6ED"/>
    <w:rsid w:val="6E4D0594"/>
    <w:rsid w:val="6F5F6E7F"/>
    <w:rsid w:val="6FBD132B"/>
    <w:rsid w:val="72293198"/>
    <w:rsid w:val="73A36EFC"/>
    <w:rsid w:val="74B79D98"/>
    <w:rsid w:val="7BFF047F"/>
    <w:rsid w:val="7CBA63CE"/>
    <w:rsid w:val="7D4D8F18"/>
    <w:rsid w:val="7F46796B"/>
    <w:rsid w:val="7F7FCBD1"/>
    <w:rsid w:val="7FE57324"/>
    <w:rsid w:val="7FEBCF13"/>
    <w:rsid w:val="7FFA9163"/>
    <w:rsid w:val="95ABD02A"/>
    <w:rsid w:val="9E93BAB4"/>
    <w:rsid w:val="9FFB6EA3"/>
    <w:rsid w:val="A19D65F0"/>
    <w:rsid w:val="A3FF020D"/>
    <w:rsid w:val="AEF33F02"/>
    <w:rsid w:val="B4FD1C5B"/>
    <w:rsid w:val="B7761DC2"/>
    <w:rsid w:val="BBFFB08B"/>
    <w:rsid w:val="BD78EA00"/>
    <w:rsid w:val="BDAF5DC3"/>
    <w:rsid w:val="BDFE5D59"/>
    <w:rsid w:val="BFD6AF1D"/>
    <w:rsid w:val="C91F3F01"/>
    <w:rsid w:val="CBDCFEDA"/>
    <w:rsid w:val="CBE9AA74"/>
    <w:rsid w:val="CEE30DDE"/>
    <w:rsid w:val="D768C018"/>
    <w:rsid w:val="DC5F21EF"/>
    <w:rsid w:val="DF6FE7DE"/>
    <w:rsid w:val="E7FBD42C"/>
    <w:rsid w:val="EBDF57E6"/>
    <w:rsid w:val="F25FEA9C"/>
    <w:rsid w:val="F3F7435A"/>
    <w:rsid w:val="F7DF7A14"/>
    <w:rsid w:val="F7DFA886"/>
    <w:rsid w:val="F7E54F91"/>
    <w:rsid w:val="F8769C26"/>
    <w:rsid w:val="F8BFF2D6"/>
    <w:rsid w:val="F97F30F4"/>
    <w:rsid w:val="F9BE6C9E"/>
    <w:rsid w:val="F9DDF6C1"/>
    <w:rsid w:val="F9FE3BEA"/>
    <w:rsid w:val="FAD39256"/>
    <w:rsid w:val="FB7D2B78"/>
    <w:rsid w:val="FBB67DEA"/>
    <w:rsid w:val="FBFB9A79"/>
    <w:rsid w:val="FBFE916A"/>
    <w:rsid w:val="FCFF9414"/>
    <w:rsid w:val="FEDBD163"/>
    <w:rsid w:val="FF7D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left="318"/>
      <w:outlineLvl w:val="0"/>
    </w:pPr>
    <w:rPr>
      <w:rFonts w:ascii="微软雅黑 Semibold" w:hAnsi="微软雅黑 Semibold" w:eastAsia="微软雅黑 Semibold" w:cs="微软雅黑 Semibold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qFormat/>
    <w:uiPriority w:val="0"/>
    <w:pPr>
      <w:jc w:val="left"/>
    </w:p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annotation subject"/>
    <w:basedOn w:val="4"/>
    <w:next w:val="4"/>
    <w:link w:val="15"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uiPriority w:val="0"/>
    <w:rPr>
      <w:color w:val="0000FF"/>
      <w:u w:val="single"/>
    </w:rPr>
  </w:style>
  <w:style w:type="character" w:styleId="12">
    <w:name w:val="annotation reference"/>
    <w:basedOn w:val="9"/>
    <w:uiPriority w:val="0"/>
    <w:rPr>
      <w:sz w:val="21"/>
      <w:szCs w:val="21"/>
    </w:rPr>
  </w:style>
  <w:style w:type="paragraph" w:customStyle="1" w:styleId="13">
    <w:name w:val="TOC 标题1"/>
    <w:basedOn w:val="2"/>
    <w:next w:val="1"/>
    <w:unhideWhenUsed/>
    <w:qFormat/>
    <w:uiPriority w:val="39"/>
    <w:pPr>
      <w:keepLines/>
      <w:widowControl/>
      <w:spacing w:line="259" w:lineRule="auto"/>
      <w:jc w:val="left"/>
      <w:outlineLvl w:val="9"/>
    </w:pPr>
    <w:rPr>
      <w:color w:val="2F5496"/>
      <w:kern w:val="0"/>
      <w:lang w:eastAsia="en-US"/>
    </w:rPr>
  </w:style>
  <w:style w:type="character" w:customStyle="1" w:styleId="14">
    <w:name w:val="批注文字 字符"/>
    <w:basedOn w:val="9"/>
    <w:link w:val="4"/>
    <w:uiPriority w:val="0"/>
    <w:rPr>
      <w:kern w:val="2"/>
      <w:sz w:val="21"/>
      <w:szCs w:val="24"/>
    </w:rPr>
  </w:style>
  <w:style w:type="character" w:customStyle="1" w:styleId="15">
    <w:name w:val="批注主题 字符"/>
    <w:basedOn w:val="14"/>
    <w:link w:val="6"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4982</Words>
  <Characters>5335</Characters>
  <Lines>31</Lines>
  <Paragraphs>8</Paragraphs>
  <TotalTime>0</TotalTime>
  <ScaleCrop>false</ScaleCrop>
  <LinksUpToDate>false</LinksUpToDate>
  <CharactersWithSpaces>5405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2023-09-09T22:21:00Z</dcterms:created>
  <dc:creator>蒋国平</dc:creator>
  <cp:lastModifiedBy>A@niu</cp:lastModifiedBy>
  <dcterms:modified xsi:type="dcterms:W3CDTF">2024-10-10T09:00:21Z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D409FBADFD4044BABBD377F9887F6A42_13</vt:lpwstr>
  </property>
</Properties>
</file>